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Eli Lilly Client Consideration Checklist</w:t>
      </w:r>
    </w:p>
    <w:p>
      <w:r>
        <w:br/>
        <w:t>To: Sales and Non-Finance Professionals</w:t>
        <w:br/>
        <w:t>From: CFO</w:t>
        <w:br/>
        <w:t>Date: [Insert Date]</w:t>
        <w:br/>
        <w:t>Subject: Overview and Impact of ASC 606 on Revenue Recognition</w:t>
        <w:br/>
        <w:br/>
        <w:t>---</w:t>
        <w:br/>
        <w:br/>
        <w:t>1. What is ASC 606?</w:t>
        <w:br/>
        <w:t>ASC 606 is a comprehensive revenue recognition standard issued by the Financial Accounting Standards Board (FASB) that establishes a single, principles-based model for recognizing revenue from contracts with customers. This standard supersedes most previous revenue recognition guidance, including industry-specific guidance, and aims to improve comparability of revenue recognition practices across entities, industries, jurisdictions, and capital markets.</w:t>
        <w:br/>
        <w:br/>
        <w:t>---</w:t>
        <w:br/>
        <w:br/>
        <w:t>2. Who Does it Affect?</w:t>
        <w:br/>
        <w:t>ASC 606 affects all entities, public and private, that enter into contracts with customers to transfer goods, services, or non-financial assets. This includes:</w:t>
        <w:br/>
        <w:br/>
        <w:t>- Manufacturing Companies: Changes in timing and amount of revenue recognized.</w:t>
        <w:br/>
        <w:t>- Software Companies: Licensing and subscription service models.</w:t>
        <w:br/>
        <w:t>- Construction Companies: Long-term contracts with performance obligations satisfied over time.</w:t>
        <w:br/>
        <w:t>- Service Providers: Contracts with variable considerations and performance obligations.</w:t>
        <w:br/>
        <w:br/>
        <w:t>---</w:t>
        <w:br/>
        <w:br/>
        <w:t>3. Major Changes and Updates</w:t>
        <w:br/>
        <w:br/>
        <w:t>a. Five-Step Model for Revenue Recognition:</w:t>
        <w:br/>
        <w:t>1. Identify the Contract(s) with a Customer: Determine if a contract exists based on criteria such as approval, commitment, payment terms, and enforceable rights.</w:t>
        <w:br/>
        <w:t>2. Identify the Performance Obligations: Specify distinct goods or services promised in the contract.</w:t>
        <w:br/>
        <w:t>3. Determine the Transaction Price: Establish the amount of consideration expected for the transfer of goods or services.</w:t>
        <w:br/>
        <w:t>4. Allocate the Transaction Price: Allocate the transaction price to performance obligations based on relative standalone selling prices.</w:t>
        <w:br/>
        <w:t>5. Recognize Revenue: Recognize revenue when (or as) performance obligations are satisfied, either over time or at a point in time.</w:t>
        <w:br/>
        <w:br/>
        <w:t>b. Enhanced Disclosures:</w:t>
        <w:br/>
        <w:t>- Nature, amount, timing, and uncertainty of revenue and cash flows.</w:t>
        <w:br/>
        <w:t>- Contract balances, performance obligations, and significant judgments.</w:t>
        <w:br/>
        <w:br/>
        <w:t>c. Contract Modifications:</w:t>
        <w:br/>
        <w:t>- Treat as separate contracts or cumulative catch-up adjustments based on the modification’s nature.</w:t>
        <w:br/>
        <w:br/>
        <w:t>d. Variable Consideration and Constraining Estimates:</w:t>
        <w:br/>
        <w:t>- Estimate variable consideration and include it in the transaction price only to the extent that it is probable that a significant reversal will not occur.</w:t>
        <w:br/>
        <w:br/>
        <w:t>---</w:t>
        <w:br/>
        <w:br/>
        <w:t>4. What Does It Mean for Us?</w:t>
        <w:br/>
        <w:br/>
        <w:t>a. Changes in Revenue Recognition Timing:</w:t>
        <w:br/>
        <w:t>- Revenue may be recognized earlier or later than under previous guidance.</w:t>
        <w:br/>
        <w:t>- Performance obligations satisfied over time vs. at a point in time require careful analysis.</w:t>
        <w:br/>
        <w:br/>
        <w:t>b. Detailed Contract Analysis:</w:t>
        <w:br/>
        <w:t>- Each contract must be reviewed to identify performance obligations and allocate transaction prices accordingly.</w:t>
        <w:br/>
        <w:br/>
        <w:t>c. Impact on Financial Statements:</w:t>
        <w:br/>
        <w:t>- Financial metrics such as revenue, net income, and margins might fluctuate more due to the new revenue recognition timing.</w:t>
        <w:br/>
        <w:br/>
        <w:t>d. Internal Processes and Controls:</w:t>
        <w:br/>
        <w:t>- Enhanced processes for capturing and analyzing contracts.</w:t>
        <w:br/>
        <w:t>- Training for staff on new recognition criteria and disclosure requirements.</w:t>
        <w:br/>
        <w:br/>
        <w:t>---</w:t>
        <w:br/>
        <w:br/>
        <w:t>5. Next Steps</w:t>
        <w:br/>
        <w:br/>
        <w:t>a. Training and Education:</w:t>
        <w:br/>
        <w:t>- Conduct training sessions for finance, sales, and operations teams to understand ASC 606 requirements and impacts.</w:t>
        <w:br/>
        <w:br/>
        <w:t>b. System and Process Updates:</w:t>
        <w:br/>
        <w:t>- Update accounting systems to handle new data requirements and enhance contract management processes.</w:t>
        <w:br/>
        <w:br/>
        <w:t>c. Continuous Monitoring:</w:t>
        <w:br/>
        <w:t>- Regularly review and assess contracts to ensure compliance with ASC 606.</w:t>
        <w:br/>
        <w:t>- Monitor changes in customer contracts and performance obligations.</w:t>
        <w:br/>
        <w:br/>
        <w:t>d. Consultation with Auditors:</w:t>
        <w:br/>
        <w:t>- Work closely with auditors to understand the implications and ensure proper implementation and disclosure.</w:t>
        <w:br/>
        <w:br/>
        <w:t>---</w:t>
        <w:br/>
        <w:br/>
        <w:t>Conclusion</w:t>
        <w:br/>
        <w:br/>
        <w:t>ASC 606 introduces significant changes to revenue recognition practices. It is crucial for all affected departments to understand these changes and adapt our processes accordingly to ensure compliance and accurate financial reporting. Please reach out with any questions or if further clarification is needed.</w:t>
        <w:b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B75D141F752BA4DAD558B5064D5BFD8" ma:contentTypeVersion="13" ma:contentTypeDescription="Create a new document." ma:contentTypeScope="" ma:versionID="bda12947e7739ca6c8f27ba24f387d65">
  <xsd:schema xmlns:xsd="http://www.w3.org/2001/XMLSchema" xmlns:xs="http://www.w3.org/2001/XMLSchema" xmlns:p="http://schemas.microsoft.com/office/2006/metadata/properties" xmlns:ns2="adc83368-7cc5-421a-87e4-5ffef4a3dedc" xmlns:ns3="29c81aae-4b78-47fe-9fb0-2a0d0c6d7f8d" targetNamespace="http://schemas.microsoft.com/office/2006/metadata/properties" ma:root="true" ma:fieldsID="b0d77eeed5852c3a2fa400371adc51dc" ns2:_="" ns3:_="">
    <xsd:import namespace="adc83368-7cc5-421a-87e4-5ffef4a3dedc"/>
    <xsd:import namespace="29c81aae-4b78-47fe-9fb0-2a0d0c6d7f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83368-7cc5-421a-87e4-5ffef4a3d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304d38-d8b6-4251-bbc3-72d0468356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81aae-4b78-47fe-9fb0-2a0d0c6d7f8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b2df1e-649a-4fda-b2a2-bef7ccd4e93e}" ma:internalName="TaxCatchAll" ma:showField="CatchAllData" ma:web="29c81aae-4b78-47fe-9fb0-2a0d0c6d7f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c83368-7cc5-421a-87e4-5ffef4a3dedc">
      <Terms xmlns="http://schemas.microsoft.com/office/infopath/2007/PartnerControls"/>
    </lcf76f155ced4ddcb4097134ff3c332f>
    <TaxCatchAll xmlns="29c81aae-4b78-47fe-9fb0-2a0d0c6d7f8d"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9A4A238-64B0-4D29-A0FB-F7BDF75C9C82}"/>
</file>

<file path=customXml/itemProps3.xml><?xml version="1.0" encoding="utf-8"?>
<ds:datastoreItem xmlns:ds="http://schemas.openxmlformats.org/officeDocument/2006/customXml" ds:itemID="{72A31817-A62F-4E65-A75E-359B205D5361}"/>
</file>

<file path=customXml/itemProps4.xml><?xml version="1.0" encoding="utf-8"?>
<ds:datastoreItem xmlns:ds="http://schemas.openxmlformats.org/officeDocument/2006/customXml" ds:itemID="{FC118F3D-C18E-4D50-906F-BF2342E4E3F5}"/>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0x0101005B75D141F752BA4DAD558B5064D5BFD8</vt:lpwstr>
  </property>
</Properties>
</file>